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4" w:rsidRPr="00A44CBC" w:rsidRDefault="00905F36">
      <w:pPr>
        <w:spacing w:before="90"/>
        <w:ind w:left="3071" w:right="2635"/>
        <w:jc w:val="center"/>
        <w:rPr>
          <w:b/>
          <w:sz w:val="28"/>
          <w:szCs w:val="28"/>
        </w:rPr>
      </w:pPr>
      <w:r w:rsidRPr="00A44CBC">
        <w:rPr>
          <w:b/>
          <w:sz w:val="28"/>
          <w:szCs w:val="28"/>
        </w:rPr>
        <w:t>ПОЯСНИТЕЛЬНАЯ</w:t>
      </w:r>
      <w:r w:rsidRPr="00A44CBC">
        <w:rPr>
          <w:b/>
          <w:spacing w:val="-5"/>
          <w:sz w:val="28"/>
          <w:szCs w:val="28"/>
        </w:rPr>
        <w:t xml:space="preserve"> </w:t>
      </w:r>
      <w:r w:rsidRPr="00A44CBC">
        <w:rPr>
          <w:b/>
          <w:sz w:val="28"/>
          <w:szCs w:val="28"/>
        </w:rPr>
        <w:t>ЗАПИСКА</w:t>
      </w:r>
    </w:p>
    <w:p w:rsidR="00C542F4" w:rsidRPr="00A44CBC" w:rsidRDefault="00905F36" w:rsidP="00A27BDC">
      <w:pPr>
        <w:pStyle w:val="a3"/>
        <w:spacing w:before="42" w:line="244" w:lineRule="auto"/>
        <w:ind w:firstLine="634"/>
        <w:jc w:val="center"/>
      </w:pPr>
      <w:r w:rsidRPr="00A44CBC">
        <w:t>к проекту решения городской Думы «</w:t>
      </w:r>
      <w:r w:rsidR="003A0538" w:rsidRPr="00A44CBC">
        <w:t>Об утверждении Положения о залоговом фонде муниципального образования городской округ город Дзержинск и о внесении изменений в отдельные правовые акты городской Думы</w:t>
      </w:r>
      <w:r w:rsidRPr="00A44CBC">
        <w:t>»</w:t>
      </w:r>
    </w:p>
    <w:p w:rsidR="00C542F4" w:rsidRPr="00A44CBC" w:rsidRDefault="00C542F4">
      <w:pPr>
        <w:pStyle w:val="a3"/>
      </w:pPr>
    </w:p>
    <w:p w:rsidR="00CB10C9" w:rsidRPr="00A44CBC" w:rsidRDefault="00CB10C9" w:rsidP="00CB10C9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1. Краткое описание предлагаемого регулирования.</w:t>
      </w:r>
    </w:p>
    <w:p w:rsidR="00905F36" w:rsidRPr="00A44CBC" w:rsidRDefault="004467C9" w:rsidP="00CB10C9">
      <w:pPr>
        <w:pStyle w:val="a3"/>
        <w:spacing w:before="3"/>
        <w:ind w:firstLine="709"/>
        <w:jc w:val="both"/>
      </w:pPr>
      <w:r w:rsidRPr="00A44CBC">
        <w:t xml:space="preserve">Настоящим проектом решения предлагается утвердить </w:t>
      </w:r>
      <w:r w:rsidR="00A27BDC" w:rsidRPr="00A44CBC">
        <w:t>положение о залоговом фонде муниципального образования городской округ город Дзержинск</w:t>
      </w:r>
      <w:r w:rsidRPr="00A44CBC">
        <w:t xml:space="preserve">, регулирующее отношения, связанные с порядком формирования, управления и использования </w:t>
      </w:r>
      <w:r w:rsidR="00E16CBC" w:rsidRPr="00A44CBC">
        <w:t>такого фонда.</w:t>
      </w:r>
    </w:p>
    <w:p w:rsidR="004F4F7E" w:rsidRPr="00A44CBC" w:rsidRDefault="004F4F7E" w:rsidP="00A27BDC">
      <w:pPr>
        <w:pStyle w:val="a3"/>
        <w:spacing w:before="3"/>
        <w:ind w:firstLine="709"/>
        <w:jc w:val="both"/>
      </w:pPr>
      <w:proofErr w:type="gramStart"/>
      <w:r w:rsidRPr="00A44CBC">
        <w:t>Залоговый фонд муниципального образования формируется в целях создания условий для привлечения инвестиций в экономику муниципального образования, для реализации инвестиционных и инновационных проектов, программ социально-экономического развития муниципального образования, муниципальных программ, участия в реализации государственных программ Нижегородской области и федеральных программ, для экономической поддержки организаций реального сектора экономики, а также в целях необходимости в пополнении оборотных средств.</w:t>
      </w:r>
      <w:proofErr w:type="gramEnd"/>
    </w:p>
    <w:p w:rsidR="00CB10C9" w:rsidRPr="00A44CBC" w:rsidRDefault="00CB10C9" w:rsidP="00A27BDC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2. Основание для проведения оценки регулирующего воздействия.</w:t>
      </w:r>
    </w:p>
    <w:p w:rsidR="00013DFC" w:rsidRPr="001D7F29" w:rsidRDefault="00013DFC" w:rsidP="00013DFC">
      <w:pPr>
        <w:pStyle w:val="a3"/>
        <w:spacing w:before="3"/>
        <w:ind w:firstLine="709"/>
        <w:jc w:val="both"/>
      </w:pPr>
      <w:bookmarkStart w:id="0" w:name="_GoBack"/>
      <w:r w:rsidRPr="001D7F29">
        <w:t>Повышение эффективности инвестиционной политики, проводимой органами местного самоуправления городского округа город Дзержинск.</w:t>
      </w:r>
    </w:p>
    <w:bookmarkEnd w:id="0"/>
    <w:p w:rsidR="0028212F" w:rsidRPr="00A44CBC" w:rsidRDefault="0028212F" w:rsidP="00A27BDC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3. Сведения о проблеме, на решение которой направлено предлагаемое регулирование.</w:t>
      </w:r>
    </w:p>
    <w:p w:rsidR="0040097A" w:rsidRPr="00A44CBC" w:rsidRDefault="00DC56D3" w:rsidP="00332E26">
      <w:pPr>
        <w:pStyle w:val="a3"/>
        <w:spacing w:before="3"/>
        <w:ind w:firstLine="709"/>
        <w:jc w:val="both"/>
      </w:pPr>
      <w:r w:rsidRPr="00A44CBC">
        <w:t xml:space="preserve">Законопроект направлен на активизацию </w:t>
      </w:r>
      <w:r w:rsidR="0040097A" w:rsidRPr="00A44CBC">
        <w:t xml:space="preserve">инвестиционной деятельности при существующих негативных процессах в экономике и финансовом секторе на территории городского округа город Дзержинск, обеспечение дополнительной нефинансовой поддержки хозяйствующих субъектов города (области). В первую очередь это касается субъектов малого предпринимательства и предприятий промышленности, имеющих проблемы с залоговым обеспечением, что лишает их возможности привлечения заемных средств, пополнения оборотных средств и выплаты заработной платы в существующих финансовых условиях. </w:t>
      </w:r>
    </w:p>
    <w:p w:rsidR="00332E26" w:rsidRPr="00A44CBC" w:rsidRDefault="00332E26" w:rsidP="00332E26">
      <w:pPr>
        <w:pStyle w:val="a3"/>
        <w:spacing w:before="3"/>
        <w:ind w:firstLine="709"/>
        <w:jc w:val="both"/>
      </w:pPr>
      <w:r w:rsidRPr="00A44CBC">
        <w:t>Залоговый фонд позволяет задействовать залоговый потенциал региона и повысить показатели его экономического роста. Значительный экономический эффект обеспечивают, в частности, вовлечение в хозяйственный оборот дополнительных (свободных) местных ресурсов, внебюджетное финансирование региональных и муниципальных программ, капитализация коммерческой прибыли в регионе.</w:t>
      </w:r>
    </w:p>
    <w:p w:rsidR="00332E26" w:rsidRPr="00A44CBC" w:rsidRDefault="00332E26" w:rsidP="00332E26">
      <w:pPr>
        <w:pStyle w:val="a3"/>
        <w:spacing w:before="3"/>
        <w:ind w:firstLine="709"/>
        <w:jc w:val="both"/>
      </w:pPr>
      <w:r w:rsidRPr="00A44CBC">
        <w:t>Залоговый фонд является механизмом гарантирования, привлечения и защиты инвестиций, а также эффективного взаимодействия инвесторов и заемщиков.</w:t>
      </w:r>
    </w:p>
    <w:p w:rsidR="00332E26" w:rsidRPr="00A44CBC" w:rsidRDefault="00332E26" w:rsidP="00332E26">
      <w:pPr>
        <w:pStyle w:val="a3"/>
        <w:spacing w:before="3"/>
        <w:ind w:firstLine="709"/>
        <w:jc w:val="both"/>
      </w:pPr>
      <w:r w:rsidRPr="00A44CBC">
        <w:t>Таким образом, фонд выступает в качестве гаранта-поручителя перед банками и небанковскими финансовыми институтами за хозяйствующие субъекты, что не только обеспечивает возвратность займов, но и снижает риск, который банк закладывает в стоимость кредита, именно таким образом решается проблема доступности ресурсов для представителей малого и среднего бизнеса.</w:t>
      </w:r>
    </w:p>
    <w:p w:rsidR="00F362E8" w:rsidRPr="00A44CBC" w:rsidRDefault="00F362E8" w:rsidP="00A27BDC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 xml:space="preserve">4. Сведения о проведении специального исследования данной </w:t>
      </w:r>
      <w:r w:rsidRPr="00A44CBC">
        <w:rPr>
          <w:b/>
        </w:rPr>
        <w:lastRenderedPageBreak/>
        <w:t>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1A73A0" w:rsidRPr="00A44CBC" w:rsidRDefault="00F362E8" w:rsidP="00A27BDC">
      <w:pPr>
        <w:pStyle w:val="a3"/>
        <w:spacing w:before="3"/>
        <w:ind w:firstLine="709"/>
        <w:jc w:val="both"/>
      </w:pPr>
      <w:r w:rsidRPr="00A44CBC">
        <w:t>Исследование проблемы не проводилось.</w:t>
      </w:r>
      <w:r w:rsidR="00332E26" w:rsidRPr="00A44CBC">
        <w:t xml:space="preserve"> Однако во множестве субъектов Российской Федерации и отдельных муниципальных образованиях подобные положения приняты.</w:t>
      </w:r>
      <w:r w:rsidR="00025C94" w:rsidRPr="00A44CBC">
        <w:t xml:space="preserve"> </w:t>
      </w:r>
      <w:r w:rsidR="001A73A0" w:rsidRPr="00A44CBC">
        <w:t>Исходя из их практики применения, положения правового акта работают при условии предоставления объектов залогового фонда на безвозмездной основе, что позволяет реализовывать инвестиционные проекты по приоритетным отраслям.</w:t>
      </w:r>
    </w:p>
    <w:p w:rsidR="00F362E8" w:rsidRPr="00A44CBC" w:rsidRDefault="00F362E8" w:rsidP="00F362E8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5.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812B4D" w:rsidRPr="00A44CBC" w:rsidRDefault="00812B4D" w:rsidP="00F362E8">
      <w:pPr>
        <w:pStyle w:val="a3"/>
        <w:spacing w:before="3"/>
        <w:ind w:firstLine="709"/>
        <w:jc w:val="both"/>
      </w:pPr>
      <w:r w:rsidRPr="00A44CBC">
        <w:t xml:space="preserve">1) Для </w:t>
      </w:r>
      <w:r w:rsidR="00C50A42" w:rsidRPr="00A44CBC">
        <w:t>субъектов предпринимательства</w:t>
      </w:r>
      <w:r w:rsidRPr="00A44CBC">
        <w:t>:</w:t>
      </w:r>
    </w:p>
    <w:p w:rsidR="00812B4D" w:rsidRPr="00A44CBC" w:rsidRDefault="00812B4D" w:rsidP="00044726">
      <w:pPr>
        <w:pStyle w:val="a3"/>
        <w:spacing w:before="3"/>
        <w:ind w:firstLine="709"/>
        <w:jc w:val="both"/>
      </w:pPr>
      <w:r w:rsidRPr="00A44CBC">
        <w:t>-</w:t>
      </w:r>
      <w:r w:rsidR="00C50A42" w:rsidRPr="00A44CBC">
        <w:t xml:space="preserve"> </w:t>
      </w:r>
      <w:r w:rsidRPr="00A44CBC">
        <w:t xml:space="preserve">доступность </w:t>
      </w:r>
      <w:r w:rsidR="00262643" w:rsidRPr="00A44CBC">
        <w:t xml:space="preserve">привлечения </w:t>
      </w:r>
      <w:r w:rsidR="001A73A0" w:rsidRPr="00A44CBC">
        <w:t>зае</w:t>
      </w:r>
      <w:r w:rsidR="00262643" w:rsidRPr="00A44CBC">
        <w:t xml:space="preserve">мных средств в целях </w:t>
      </w:r>
      <w:r w:rsidR="00C50A42" w:rsidRPr="00A44CBC">
        <w:t xml:space="preserve">реализации своих </w:t>
      </w:r>
      <w:proofErr w:type="gramStart"/>
      <w:r w:rsidR="00C50A42" w:rsidRPr="00A44CBC">
        <w:t>бизнес-проектов</w:t>
      </w:r>
      <w:proofErr w:type="gramEnd"/>
      <w:r w:rsidR="001A73A0" w:rsidRPr="00A44CBC">
        <w:t>;</w:t>
      </w:r>
    </w:p>
    <w:p w:rsidR="001A73A0" w:rsidRPr="00A44CBC" w:rsidRDefault="001A73A0" w:rsidP="00044726">
      <w:pPr>
        <w:pStyle w:val="a3"/>
        <w:spacing w:before="3"/>
        <w:ind w:firstLine="709"/>
        <w:jc w:val="both"/>
      </w:pPr>
      <w:r w:rsidRPr="00A44CBC">
        <w:t>- безвозмездность предоставления залогового обеспечения.</w:t>
      </w:r>
    </w:p>
    <w:p w:rsidR="00044726" w:rsidRPr="00A44CBC" w:rsidRDefault="00044726" w:rsidP="00044726">
      <w:pPr>
        <w:pStyle w:val="a3"/>
        <w:spacing w:before="3"/>
        <w:ind w:firstLine="709"/>
        <w:jc w:val="both"/>
      </w:pPr>
      <w:r w:rsidRPr="00A44CBC">
        <w:t xml:space="preserve">2) Для </w:t>
      </w:r>
      <w:r w:rsidR="00120C3A" w:rsidRPr="00A44CBC">
        <w:t>города Дзержинска в целом:</w:t>
      </w:r>
    </w:p>
    <w:p w:rsidR="00120C3A" w:rsidRPr="00A44CBC" w:rsidRDefault="00120C3A" w:rsidP="00044726">
      <w:pPr>
        <w:pStyle w:val="a3"/>
        <w:spacing w:before="3"/>
        <w:ind w:firstLine="709"/>
        <w:jc w:val="both"/>
      </w:pPr>
      <w:r w:rsidRPr="00A44CBC">
        <w:t>- реализация социально значимых проектов и программ;</w:t>
      </w:r>
    </w:p>
    <w:p w:rsidR="00120C3A" w:rsidRPr="00A44CBC" w:rsidRDefault="00120C3A" w:rsidP="00044726">
      <w:pPr>
        <w:pStyle w:val="a3"/>
        <w:spacing w:before="3"/>
        <w:ind w:firstLine="709"/>
        <w:jc w:val="both"/>
      </w:pPr>
      <w:r w:rsidRPr="00A44CBC">
        <w:t>- увеличение налогооблагаемой базы;</w:t>
      </w:r>
    </w:p>
    <w:p w:rsidR="00120C3A" w:rsidRPr="00A44CBC" w:rsidRDefault="00120C3A" w:rsidP="00044726">
      <w:pPr>
        <w:pStyle w:val="a3"/>
        <w:spacing w:before="3"/>
        <w:ind w:firstLine="709"/>
        <w:jc w:val="both"/>
      </w:pPr>
      <w:r w:rsidRPr="00A44CBC">
        <w:t>- создание новых рабочих мест;</w:t>
      </w:r>
    </w:p>
    <w:p w:rsidR="00120C3A" w:rsidRPr="00A44CBC" w:rsidRDefault="00120C3A" w:rsidP="00044726">
      <w:pPr>
        <w:pStyle w:val="a3"/>
        <w:spacing w:before="3"/>
        <w:ind w:firstLine="709"/>
        <w:jc w:val="both"/>
      </w:pPr>
      <w:r w:rsidRPr="00A44CBC">
        <w:t>- повышение инвестиционной привлекательности города и региона.</w:t>
      </w:r>
    </w:p>
    <w:p w:rsidR="00F362E8" w:rsidRPr="00A44CBC" w:rsidRDefault="00F362E8" w:rsidP="00F362E8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6. Краткое описание</w:t>
      </w:r>
      <w:r w:rsidR="00044726" w:rsidRPr="00A44CBC">
        <w:rPr>
          <w:b/>
        </w:rPr>
        <w:t xml:space="preserve"> предмета регулирования</w:t>
      </w:r>
      <w:r w:rsidRPr="00A44CBC">
        <w:rPr>
          <w:b/>
        </w:rPr>
        <w:t>:</w:t>
      </w:r>
    </w:p>
    <w:p w:rsidR="00044726" w:rsidRPr="00A44CBC" w:rsidRDefault="00044726" w:rsidP="00F362E8">
      <w:pPr>
        <w:pStyle w:val="a3"/>
        <w:spacing w:before="3"/>
        <w:ind w:firstLine="709"/>
        <w:jc w:val="both"/>
      </w:pPr>
      <w:r w:rsidRPr="00A44CBC">
        <w:t>Положение регулирует отношения, связанные с порядком формирования, управления и использования залогового фонда муниципального образования городской округ город Дзержинск</w:t>
      </w:r>
      <w:r w:rsidR="00777E5C" w:rsidRPr="00A44CBC">
        <w:t>.</w:t>
      </w:r>
      <w:r w:rsidRPr="00A44CBC">
        <w:t xml:space="preserve"> </w:t>
      </w:r>
    </w:p>
    <w:p w:rsidR="00F362E8" w:rsidRPr="00A44CBC" w:rsidRDefault="00F362E8" w:rsidP="00F362E8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7. Описание реализации регулирования:</w:t>
      </w:r>
    </w:p>
    <w:p w:rsidR="004D2836" w:rsidRPr="00A44CBC" w:rsidRDefault="004D2836" w:rsidP="004D2836">
      <w:pPr>
        <w:pStyle w:val="a3"/>
        <w:spacing w:before="3"/>
        <w:ind w:firstLine="709"/>
        <w:jc w:val="both"/>
      </w:pPr>
      <w:r w:rsidRPr="00A44CBC">
        <w:t xml:space="preserve">Ответственным за реализацию проекта будет структурное подразделение администрации города, определенное правовым актом администрации. </w:t>
      </w:r>
    </w:p>
    <w:p w:rsidR="004D2836" w:rsidRPr="00A44CBC" w:rsidRDefault="004D2836" w:rsidP="004D2836">
      <w:pPr>
        <w:pStyle w:val="a3"/>
        <w:spacing w:before="3"/>
        <w:ind w:firstLine="709"/>
        <w:jc w:val="both"/>
      </w:pPr>
      <w:proofErr w:type="gramStart"/>
      <w:r w:rsidRPr="00A44CBC">
        <w:t>Контроль за</w:t>
      </w:r>
      <w:proofErr w:type="gramEnd"/>
      <w:r w:rsidRPr="00A44CBC">
        <w:t xml:space="preserve"> использованием залогового фонда муниципального образования осуществляется городской Думой города Дзержинска и администрацией города Дзержинска в соответствии с их полномочиями.</w:t>
      </w:r>
    </w:p>
    <w:p w:rsidR="00F362E8" w:rsidRPr="00A44CBC" w:rsidRDefault="00F362E8" w:rsidP="004D2836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8.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4D2836" w:rsidRPr="00A44CBC" w:rsidRDefault="004D2836" w:rsidP="004D2836">
      <w:pPr>
        <w:pStyle w:val="a3"/>
        <w:spacing w:before="3"/>
        <w:ind w:firstLine="709"/>
        <w:jc w:val="both"/>
      </w:pPr>
      <w:r w:rsidRPr="00A44CBC">
        <w:t xml:space="preserve">Возможно установление ограничений </w:t>
      </w:r>
      <w:r w:rsidR="00EA40C0" w:rsidRPr="00A44CBC">
        <w:t>для получения залогового обеспечения некоторым категориям субъектов предпринимательства, таким как:</w:t>
      </w:r>
    </w:p>
    <w:p w:rsidR="00EA40C0" w:rsidRPr="00A44CBC" w:rsidRDefault="00EA40C0" w:rsidP="004D2836">
      <w:pPr>
        <w:pStyle w:val="a3"/>
        <w:spacing w:before="3"/>
        <w:ind w:firstLine="709"/>
        <w:jc w:val="both"/>
      </w:pPr>
      <w:r w:rsidRPr="00A44CBC">
        <w:t>- кредитные и страховые организации;</w:t>
      </w:r>
    </w:p>
    <w:p w:rsidR="00EA40C0" w:rsidRPr="00A44CBC" w:rsidRDefault="00EA40C0" w:rsidP="004D2836">
      <w:pPr>
        <w:pStyle w:val="a3"/>
        <w:spacing w:before="3"/>
        <w:ind w:firstLine="709"/>
        <w:jc w:val="both"/>
      </w:pPr>
      <w:r w:rsidRPr="00A44CBC">
        <w:t>- инвестиционные фонды, негосударственные пенсионные фонды;</w:t>
      </w:r>
    </w:p>
    <w:p w:rsidR="00EA40C0" w:rsidRPr="00A44CBC" w:rsidRDefault="00EA40C0" w:rsidP="004D2836">
      <w:pPr>
        <w:pStyle w:val="a3"/>
        <w:spacing w:before="3"/>
        <w:ind w:firstLine="709"/>
        <w:jc w:val="both"/>
      </w:pPr>
      <w:r w:rsidRPr="00A44CBC">
        <w:t>- профессиональные участники рынка ценных бумаг;</w:t>
      </w:r>
    </w:p>
    <w:p w:rsidR="00EA40C0" w:rsidRPr="00A44CBC" w:rsidRDefault="00EA40C0" w:rsidP="004D2836">
      <w:pPr>
        <w:pStyle w:val="a3"/>
        <w:spacing w:before="3"/>
        <w:ind w:firstLine="709"/>
        <w:jc w:val="both"/>
      </w:pPr>
      <w:r w:rsidRPr="00A44CBC">
        <w:t>- организации, осуществляющие предпринимательскую деятельность в сфере игорного бизнеса;</w:t>
      </w:r>
    </w:p>
    <w:p w:rsidR="00EA40C0" w:rsidRPr="00A44CBC" w:rsidRDefault="00EA40C0" w:rsidP="004D2836">
      <w:pPr>
        <w:pStyle w:val="a3"/>
        <w:spacing w:before="3"/>
        <w:ind w:firstLine="709"/>
        <w:jc w:val="both"/>
      </w:pPr>
      <w:r w:rsidRPr="00A44CBC">
        <w:t>- организации, не являющиеся резидентами Российской Федерации.</w:t>
      </w:r>
    </w:p>
    <w:p w:rsidR="00F362E8" w:rsidRPr="00A44CBC" w:rsidRDefault="00F362E8" w:rsidP="00F362E8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9. Оценка расходов местного бюджета.</w:t>
      </w:r>
    </w:p>
    <w:p w:rsidR="00477D9F" w:rsidRPr="00A44CBC" w:rsidRDefault="00477D9F" w:rsidP="00F362E8">
      <w:pPr>
        <w:pStyle w:val="a3"/>
        <w:spacing w:before="3"/>
        <w:ind w:firstLine="709"/>
        <w:jc w:val="both"/>
      </w:pPr>
      <w:r w:rsidRPr="00A44CBC">
        <w:t>Принятие Положения не потребует значительных расходов бюджета, за исключением средств на проведение оценки рыночной стоимости объектов залогового фонда.</w:t>
      </w:r>
    </w:p>
    <w:p w:rsidR="00F362E8" w:rsidRPr="00A44CBC" w:rsidRDefault="00F362E8" w:rsidP="00F362E8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 xml:space="preserve">10.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</w:t>
      </w:r>
      <w:r w:rsidRPr="00A44CBC">
        <w:rPr>
          <w:b/>
        </w:rPr>
        <w:lastRenderedPageBreak/>
        <w:t>предполагаемых изменений в содержании существующих обязанностей указанных субъектов.</w:t>
      </w:r>
    </w:p>
    <w:p w:rsidR="00317061" w:rsidRPr="00A44CBC" w:rsidRDefault="00777E5C" w:rsidP="00F362E8">
      <w:pPr>
        <w:pStyle w:val="a3"/>
        <w:spacing w:before="3"/>
        <w:ind w:firstLine="709"/>
        <w:jc w:val="both"/>
      </w:pPr>
      <w:r w:rsidRPr="00A44CBC">
        <w:t>Принятие данного нормативного правового акта не влечет за собой возникновение у субъектов инвестиционной деятельности дополнительных обязанностей, поскольку оказываемая мера поддержки носит исключительно заявительный характер.</w:t>
      </w:r>
    </w:p>
    <w:p w:rsidR="00777E5C" w:rsidRPr="00A44CBC" w:rsidRDefault="00777E5C" w:rsidP="00F362E8">
      <w:pPr>
        <w:pStyle w:val="a3"/>
        <w:spacing w:before="3"/>
        <w:ind w:firstLine="709"/>
        <w:jc w:val="both"/>
      </w:pPr>
      <w:r w:rsidRPr="00A44CBC">
        <w:t>Субъекты предпринимательской и инвестиционной деятельности несут расходы исключительно в рамках исполнения обязанностей в соответствии с установленным налоговым законодательством.</w:t>
      </w:r>
    </w:p>
    <w:p w:rsidR="00F362E8" w:rsidRPr="00A44CBC" w:rsidRDefault="00F362E8" w:rsidP="00F362E8">
      <w:pPr>
        <w:pStyle w:val="a3"/>
        <w:spacing w:before="3"/>
        <w:ind w:firstLine="709"/>
        <w:jc w:val="both"/>
        <w:rPr>
          <w:b/>
        </w:rPr>
      </w:pPr>
      <w:r w:rsidRPr="00A44CBC">
        <w:rPr>
          <w:b/>
        </w:rPr>
        <w:t>11. Иные сведения, позволяющие оценить обоснованность предлагаемого регулирования.</w:t>
      </w:r>
    </w:p>
    <w:p w:rsidR="00777E5C" w:rsidRPr="00A44CBC" w:rsidRDefault="001A73A0" w:rsidP="00F362E8">
      <w:pPr>
        <w:pStyle w:val="a3"/>
        <w:spacing w:before="3"/>
        <w:ind w:firstLine="709"/>
        <w:jc w:val="both"/>
      </w:pPr>
      <w:r w:rsidRPr="00A44CBC">
        <w:t>Принятие данного законопроекта позволить создать возможности для применения залогового фонда города, а также оказать дополнительную поддержку организациям в существующих финансовых условиях.</w:t>
      </w:r>
    </w:p>
    <w:p w:rsidR="00905F36" w:rsidRPr="00A44CBC" w:rsidRDefault="00905F36" w:rsidP="00321D24">
      <w:pPr>
        <w:pStyle w:val="a3"/>
        <w:spacing w:before="3"/>
      </w:pPr>
    </w:p>
    <w:p w:rsidR="00E16CBC" w:rsidRPr="00A44CBC" w:rsidRDefault="00E16CBC" w:rsidP="00321D24">
      <w:pPr>
        <w:pStyle w:val="a3"/>
        <w:spacing w:before="3"/>
      </w:pPr>
    </w:p>
    <w:p w:rsidR="00905F36" w:rsidRPr="00A44CBC" w:rsidRDefault="00905F36">
      <w:pPr>
        <w:pStyle w:val="a3"/>
        <w:spacing w:before="3"/>
      </w:pPr>
    </w:p>
    <w:p w:rsidR="00E16CBC" w:rsidRPr="00A44CBC" w:rsidRDefault="00E16CBC" w:rsidP="00E16CBC">
      <w:pPr>
        <w:pStyle w:val="a3"/>
      </w:pPr>
    </w:p>
    <w:p w:rsidR="00C542F4" w:rsidRPr="00A44CBC" w:rsidRDefault="00905F36" w:rsidP="00E16CBC">
      <w:pPr>
        <w:pStyle w:val="a3"/>
      </w:pPr>
      <w:r w:rsidRPr="00A44CBC">
        <w:t>Председатель комитета</w:t>
      </w:r>
    </w:p>
    <w:p w:rsidR="00C542F4" w:rsidRPr="00A44CBC" w:rsidRDefault="00905F36" w:rsidP="00E16CBC">
      <w:pPr>
        <w:pStyle w:val="a3"/>
        <w:spacing w:before="7"/>
      </w:pPr>
      <w:r w:rsidRPr="00A44CBC">
        <w:t xml:space="preserve">по управлению </w:t>
      </w:r>
      <w:proofErr w:type="gramStart"/>
      <w:r w:rsidRPr="00A44CBC">
        <w:t>муниципальным</w:t>
      </w:r>
      <w:proofErr w:type="gramEnd"/>
    </w:p>
    <w:p w:rsidR="00C542F4" w:rsidRPr="00A44CBC" w:rsidRDefault="00905F36" w:rsidP="00E16CBC">
      <w:pPr>
        <w:pStyle w:val="a3"/>
        <w:tabs>
          <w:tab w:val="left" w:pos="7819"/>
        </w:tabs>
        <w:spacing w:before="7"/>
      </w:pPr>
      <w:r w:rsidRPr="00A44CBC">
        <w:t>имуществом</w:t>
      </w:r>
      <w:r w:rsidRPr="00A44CBC">
        <w:tab/>
      </w:r>
      <w:proofErr w:type="spellStart"/>
      <w:r w:rsidRPr="00A44CBC">
        <w:t>М.Б.Рабин</w:t>
      </w:r>
      <w:proofErr w:type="spellEnd"/>
    </w:p>
    <w:p w:rsidR="00C542F4" w:rsidRPr="00A44CBC" w:rsidRDefault="00C542F4" w:rsidP="00E16CBC">
      <w:pPr>
        <w:pStyle w:val="a3"/>
      </w:pPr>
    </w:p>
    <w:p w:rsidR="00C542F4" w:rsidRPr="00A44CBC" w:rsidRDefault="00C542F4" w:rsidP="00E16CBC">
      <w:pPr>
        <w:pStyle w:val="a3"/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E16CBC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8"/>
          <w:szCs w:val="28"/>
        </w:rPr>
      </w:pPr>
    </w:p>
    <w:p w:rsidR="00C542F4" w:rsidRPr="00A44CBC" w:rsidRDefault="00E16CBC" w:rsidP="00E16CBC">
      <w:pPr>
        <w:tabs>
          <w:tab w:val="left" w:pos="142"/>
          <w:tab w:val="left" w:pos="426"/>
          <w:tab w:val="left" w:pos="2127"/>
        </w:tabs>
        <w:ind w:right="-53"/>
        <w:rPr>
          <w:sz w:val="20"/>
          <w:szCs w:val="20"/>
        </w:rPr>
      </w:pPr>
      <w:r w:rsidRPr="00A44CBC">
        <w:rPr>
          <w:sz w:val="20"/>
          <w:szCs w:val="20"/>
        </w:rPr>
        <w:t>Бобров</w:t>
      </w:r>
    </w:p>
    <w:p w:rsidR="00905F36" w:rsidRPr="00A44CBC" w:rsidRDefault="00E16CBC" w:rsidP="00E16CBC">
      <w:pPr>
        <w:tabs>
          <w:tab w:val="left" w:pos="142"/>
          <w:tab w:val="left" w:pos="426"/>
          <w:tab w:val="left" w:pos="2127"/>
        </w:tabs>
        <w:ind w:right="8312"/>
        <w:rPr>
          <w:sz w:val="20"/>
          <w:szCs w:val="20"/>
        </w:rPr>
      </w:pPr>
      <w:r w:rsidRPr="00A44CBC">
        <w:rPr>
          <w:sz w:val="20"/>
          <w:szCs w:val="20"/>
        </w:rPr>
        <w:t>39-71-19</w:t>
      </w:r>
    </w:p>
    <w:sectPr w:rsidR="00905F36" w:rsidRPr="00A44CBC" w:rsidSect="00317061">
      <w:type w:val="continuous"/>
      <w:pgSz w:w="11910" w:h="16850"/>
      <w:pgMar w:top="700" w:right="74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31D3"/>
    <w:multiLevelType w:val="hybridMultilevel"/>
    <w:tmpl w:val="FD8EFD94"/>
    <w:lvl w:ilvl="0" w:tplc="640A3EC8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F4"/>
    <w:rsid w:val="00013DFC"/>
    <w:rsid w:val="00025C94"/>
    <w:rsid w:val="00044726"/>
    <w:rsid w:val="000C1C31"/>
    <w:rsid w:val="00120C3A"/>
    <w:rsid w:val="001A73A0"/>
    <w:rsid w:val="001D7F29"/>
    <w:rsid w:val="00261176"/>
    <w:rsid w:val="00262643"/>
    <w:rsid w:val="0028212F"/>
    <w:rsid w:val="00317061"/>
    <w:rsid w:val="00321D24"/>
    <w:rsid w:val="00332E26"/>
    <w:rsid w:val="003A0538"/>
    <w:rsid w:val="0040097A"/>
    <w:rsid w:val="00425683"/>
    <w:rsid w:val="004467C9"/>
    <w:rsid w:val="00462322"/>
    <w:rsid w:val="00477D9F"/>
    <w:rsid w:val="004B1B65"/>
    <w:rsid w:val="004D2836"/>
    <w:rsid w:val="004F4F7E"/>
    <w:rsid w:val="00502B42"/>
    <w:rsid w:val="00777E5C"/>
    <w:rsid w:val="00812B4D"/>
    <w:rsid w:val="00872114"/>
    <w:rsid w:val="00905F36"/>
    <w:rsid w:val="00A27BDC"/>
    <w:rsid w:val="00A37FA4"/>
    <w:rsid w:val="00A44CBC"/>
    <w:rsid w:val="00B0247E"/>
    <w:rsid w:val="00BF6898"/>
    <w:rsid w:val="00C50A42"/>
    <w:rsid w:val="00C542F4"/>
    <w:rsid w:val="00C750E3"/>
    <w:rsid w:val="00CB10C9"/>
    <w:rsid w:val="00D714C2"/>
    <w:rsid w:val="00DA6534"/>
    <w:rsid w:val="00DC56D3"/>
    <w:rsid w:val="00DD4CFA"/>
    <w:rsid w:val="00DD716B"/>
    <w:rsid w:val="00E16CBC"/>
    <w:rsid w:val="00E56402"/>
    <w:rsid w:val="00EA40C0"/>
    <w:rsid w:val="00F362E8"/>
    <w:rsid w:val="00F60023"/>
    <w:rsid w:val="00F7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 w:right="626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7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3" w:right="6263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7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Пpедседателя комитета</vt:lpstr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Пpедседателя комитета</dc:title>
  <dc:creator>Кузьмин А.Л.</dc:creator>
  <cp:lastModifiedBy>Бобров Дмитрий Юрьевич</cp:lastModifiedBy>
  <cp:revision>5</cp:revision>
  <cp:lastPrinted>2021-01-29T09:54:00Z</cp:lastPrinted>
  <dcterms:created xsi:type="dcterms:W3CDTF">2021-01-29T09:24:00Z</dcterms:created>
  <dcterms:modified xsi:type="dcterms:W3CDTF">2021-01-29T12:41:00Z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