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1348A" w:rsidRDefault="0051348A" w:rsidP="0051348A">
      <w:pPr>
        <w:jc w:val="center"/>
        <w:rPr>
          <w:rFonts w:ascii="HelveticaNeueCyr" w:hAnsi="HelveticaNeueCyr"/>
          <w:b/>
          <w:sz w:val="24"/>
          <w:szCs w:val="24"/>
          <w:shd w:val="clear" w:color="auto" w:fill="FFFFFF"/>
        </w:rPr>
      </w:pPr>
      <w:r w:rsidRPr="0051348A">
        <w:rPr>
          <w:rFonts w:ascii="HelveticaNeueCyr" w:hAnsi="HelveticaNeueCyr"/>
          <w:b/>
          <w:sz w:val="24"/>
          <w:szCs w:val="24"/>
          <w:shd w:val="clear" w:color="auto" w:fill="FFFFFF"/>
        </w:rPr>
        <w:t>Муниципальные услуги в сфере инвестиционной политики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
        <w:gridCol w:w="1899"/>
        <w:gridCol w:w="1930"/>
        <w:gridCol w:w="1469"/>
        <w:gridCol w:w="3648"/>
        <w:gridCol w:w="1887"/>
        <w:gridCol w:w="1356"/>
        <w:gridCol w:w="1899"/>
      </w:tblGrid>
      <w:tr w:rsidR="0051348A" w:rsidRPr="0051348A" w:rsidTr="0051348A">
        <w:tc>
          <w:tcPr>
            <w:tcW w:w="384"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before="100" w:beforeAutospacing="1" w:after="100" w:afterAutospacing="1" w:line="240" w:lineRule="auto"/>
              <w:jc w:val="both"/>
              <w:rPr>
                <w:rFonts w:ascii="HelveticaNeueCyr" w:eastAsia="Times New Roman" w:hAnsi="HelveticaNeueCyr" w:cs="Times New Roman"/>
                <w:color w:val="323232"/>
                <w:sz w:val="24"/>
                <w:szCs w:val="24"/>
              </w:rPr>
            </w:pPr>
            <w:r w:rsidRPr="0051348A">
              <w:rPr>
                <w:rFonts w:ascii="HelveticaNeueCyr" w:eastAsia="Times New Roman" w:hAnsi="HelveticaNeueCyr" w:cs="Times New Roman"/>
                <w:color w:val="323232"/>
                <w:sz w:val="24"/>
                <w:szCs w:val="24"/>
              </w:rPr>
              <w:t xml:space="preserve">№ </w:t>
            </w:r>
            <w:proofErr w:type="spellStart"/>
            <w:proofErr w:type="gramStart"/>
            <w:r w:rsidRPr="0051348A">
              <w:rPr>
                <w:rFonts w:ascii="HelveticaNeueCyr" w:eastAsia="Times New Roman" w:hAnsi="HelveticaNeueCyr" w:cs="Times New Roman"/>
                <w:color w:val="323232"/>
                <w:sz w:val="24"/>
                <w:szCs w:val="24"/>
              </w:rPr>
              <w:t>п</w:t>
            </w:r>
            <w:proofErr w:type="spellEnd"/>
            <w:proofErr w:type="gramEnd"/>
            <w:r w:rsidRPr="0051348A">
              <w:rPr>
                <w:rFonts w:ascii="HelveticaNeueCyr" w:eastAsia="Times New Roman" w:hAnsi="HelveticaNeueCyr" w:cs="Times New Roman"/>
                <w:color w:val="323232"/>
                <w:sz w:val="24"/>
                <w:szCs w:val="24"/>
              </w:rPr>
              <w:t>/</w:t>
            </w:r>
            <w:proofErr w:type="spellStart"/>
            <w:r w:rsidRPr="0051348A">
              <w:rPr>
                <w:rFonts w:ascii="HelveticaNeueCyr" w:eastAsia="Times New Roman" w:hAnsi="HelveticaNeueCyr" w:cs="Times New Roman"/>
                <w:color w:val="323232"/>
                <w:sz w:val="24"/>
                <w:szCs w:val="24"/>
              </w:rPr>
              <w:t>п</w:t>
            </w:r>
            <w:proofErr w:type="spellEnd"/>
          </w:p>
        </w:tc>
        <w:tc>
          <w:tcPr>
            <w:tcW w:w="1548"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before="100" w:beforeAutospacing="1" w:after="100" w:afterAutospacing="1" w:line="240" w:lineRule="auto"/>
              <w:jc w:val="both"/>
              <w:rPr>
                <w:rFonts w:ascii="HelveticaNeueCyr" w:eastAsia="Times New Roman" w:hAnsi="HelveticaNeueCyr" w:cs="Times New Roman"/>
                <w:color w:val="323232"/>
                <w:sz w:val="24"/>
                <w:szCs w:val="24"/>
              </w:rPr>
            </w:pPr>
            <w:r w:rsidRPr="0051348A">
              <w:rPr>
                <w:rFonts w:ascii="HelveticaNeueCyr" w:eastAsia="Times New Roman" w:hAnsi="HelveticaNeueCyr" w:cs="Times New Roman"/>
                <w:color w:val="323232"/>
                <w:sz w:val="24"/>
                <w:szCs w:val="24"/>
              </w:rPr>
              <w:t>Наименование услуги</w:t>
            </w:r>
          </w:p>
        </w:tc>
        <w:tc>
          <w:tcPr>
            <w:tcW w:w="1008"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before="100" w:beforeAutospacing="1" w:after="100" w:afterAutospacing="1" w:line="240" w:lineRule="auto"/>
              <w:jc w:val="both"/>
              <w:rPr>
                <w:rFonts w:ascii="HelveticaNeueCyr" w:eastAsia="Times New Roman" w:hAnsi="HelveticaNeueCyr" w:cs="Times New Roman"/>
                <w:color w:val="323232"/>
                <w:sz w:val="24"/>
                <w:szCs w:val="24"/>
              </w:rPr>
            </w:pPr>
            <w:r w:rsidRPr="0051348A">
              <w:rPr>
                <w:rFonts w:ascii="HelveticaNeueCyr" w:eastAsia="Times New Roman" w:hAnsi="HelveticaNeueCyr" w:cs="Times New Roman"/>
                <w:color w:val="323232"/>
                <w:sz w:val="24"/>
                <w:szCs w:val="24"/>
              </w:rPr>
              <w:t>Ответственное управление администрации</w:t>
            </w:r>
          </w:p>
        </w:tc>
        <w:tc>
          <w:tcPr>
            <w:tcW w:w="1356"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before="100" w:beforeAutospacing="1" w:after="100" w:afterAutospacing="1" w:line="240" w:lineRule="auto"/>
              <w:jc w:val="both"/>
              <w:rPr>
                <w:rFonts w:ascii="HelveticaNeueCyr" w:eastAsia="Times New Roman" w:hAnsi="HelveticaNeueCyr" w:cs="Times New Roman"/>
                <w:color w:val="323232"/>
                <w:sz w:val="24"/>
                <w:szCs w:val="24"/>
              </w:rPr>
            </w:pPr>
            <w:r w:rsidRPr="0051348A">
              <w:rPr>
                <w:rFonts w:ascii="HelveticaNeueCyr" w:eastAsia="Times New Roman" w:hAnsi="HelveticaNeueCyr" w:cs="Times New Roman"/>
                <w:color w:val="323232"/>
                <w:sz w:val="24"/>
                <w:szCs w:val="24"/>
              </w:rPr>
              <w:t>Получатели услуги</w:t>
            </w:r>
          </w:p>
        </w:tc>
        <w:tc>
          <w:tcPr>
            <w:tcW w:w="3648"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before="100" w:beforeAutospacing="1" w:after="100" w:afterAutospacing="1" w:line="240" w:lineRule="auto"/>
              <w:jc w:val="both"/>
              <w:rPr>
                <w:rFonts w:ascii="HelveticaNeueCyr" w:eastAsia="Times New Roman" w:hAnsi="HelveticaNeueCyr" w:cs="Times New Roman"/>
                <w:color w:val="323232"/>
                <w:sz w:val="24"/>
                <w:szCs w:val="24"/>
              </w:rPr>
            </w:pPr>
            <w:r w:rsidRPr="0051348A">
              <w:rPr>
                <w:rFonts w:ascii="HelveticaNeueCyr" w:eastAsia="Times New Roman" w:hAnsi="HelveticaNeueCyr" w:cs="Times New Roman"/>
                <w:color w:val="323232"/>
                <w:sz w:val="24"/>
                <w:szCs w:val="24"/>
              </w:rPr>
              <w:t>Необходимые документы</w:t>
            </w:r>
          </w:p>
        </w:tc>
        <w:tc>
          <w:tcPr>
            <w:tcW w:w="1248"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before="100" w:beforeAutospacing="1" w:after="100" w:afterAutospacing="1" w:line="240" w:lineRule="auto"/>
              <w:jc w:val="both"/>
              <w:rPr>
                <w:rFonts w:ascii="HelveticaNeueCyr" w:eastAsia="Times New Roman" w:hAnsi="HelveticaNeueCyr" w:cs="Times New Roman"/>
                <w:color w:val="323232"/>
                <w:sz w:val="24"/>
                <w:szCs w:val="24"/>
              </w:rPr>
            </w:pPr>
            <w:r w:rsidRPr="0051348A">
              <w:rPr>
                <w:rFonts w:ascii="HelveticaNeueCyr" w:eastAsia="Times New Roman" w:hAnsi="HelveticaNeueCyr" w:cs="Times New Roman"/>
                <w:color w:val="323232"/>
                <w:sz w:val="24"/>
                <w:szCs w:val="24"/>
              </w:rPr>
              <w:t>Стоимость услуги и порядок оплаты</w:t>
            </w:r>
          </w:p>
        </w:tc>
        <w:tc>
          <w:tcPr>
            <w:tcW w:w="1356"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before="100" w:beforeAutospacing="1" w:after="100" w:afterAutospacing="1" w:line="240" w:lineRule="auto"/>
              <w:jc w:val="both"/>
              <w:rPr>
                <w:rFonts w:ascii="HelveticaNeueCyr" w:eastAsia="Times New Roman" w:hAnsi="HelveticaNeueCyr" w:cs="Times New Roman"/>
                <w:color w:val="323232"/>
                <w:sz w:val="24"/>
                <w:szCs w:val="24"/>
              </w:rPr>
            </w:pPr>
            <w:r w:rsidRPr="0051348A">
              <w:rPr>
                <w:rFonts w:ascii="HelveticaNeueCyr" w:eastAsia="Times New Roman" w:hAnsi="HelveticaNeueCyr" w:cs="Times New Roman"/>
                <w:color w:val="323232"/>
                <w:sz w:val="24"/>
                <w:szCs w:val="24"/>
              </w:rPr>
              <w:t>Срок оказания услуг</w:t>
            </w:r>
          </w:p>
        </w:tc>
        <w:tc>
          <w:tcPr>
            <w:tcW w:w="1848"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before="100" w:beforeAutospacing="1" w:after="100" w:afterAutospacing="1" w:line="240" w:lineRule="auto"/>
              <w:jc w:val="both"/>
              <w:rPr>
                <w:rFonts w:ascii="HelveticaNeueCyr" w:eastAsia="Times New Roman" w:hAnsi="HelveticaNeueCyr" w:cs="Times New Roman"/>
                <w:color w:val="323232"/>
                <w:sz w:val="24"/>
                <w:szCs w:val="24"/>
              </w:rPr>
            </w:pPr>
            <w:r w:rsidRPr="0051348A">
              <w:rPr>
                <w:rFonts w:ascii="HelveticaNeueCyr" w:eastAsia="Times New Roman" w:hAnsi="HelveticaNeueCyr" w:cs="Times New Roman"/>
                <w:color w:val="323232"/>
                <w:sz w:val="24"/>
                <w:szCs w:val="24"/>
              </w:rPr>
              <w:t>Результат оказание услуг</w:t>
            </w:r>
          </w:p>
        </w:tc>
      </w:tr>
      <w:tr w:rsidR="0051348A" w:rsidRPr="0051348A" w:rsidTr="0051348A">
        <w:tc>
          <w:tcPr>
            <w:tcW w:w="384"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before="100" w:beforeAutospacing="1" w:after="100" w:afterAutospacing="1" w:line="240" w:lineRule="auto"/>
              <w:jc w:val="both"/>
              <w:rPr>
                <w:rFonts w:ascii="HelveticaNeueCyr" w:eastAsia="Times New Roman" w:hAnsi="HelveticaNeueCyr" w:cs="Times New Roman"/>
                <w:color w:val="323232"/>
                <w:sz w:val="24"/>
                <w:szCs w:val="24"/>
              </w:rPr>
            </w:pPr>
            <w:r w:rsidRPr="0051348A">
              <w:rPr>
                <w:rFonts w:ascii="HelveticaNeueCyr" w:eastAsia="Times New Roman" w:hAnsi="HelveticaNeueCyr" w:cs="Times New Roman"/>
                <w:color w:val="323232"/>
                <w:sz w:val="24"/>
                <w:szCs w:val="24"/>
              </w:rPr>
              <w:t>1</w:t>
            </w:r>
          </w:p>
        </w:tc>
        <w:tc>
          <w:tcPr>
            <w:tcW w:w="1548"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before="100" w:beforeAutospacing="1" w:after="100" w:afterAutospacing="1" w:line="240" w:lineRule="auto"/>
              <w:jc w:val="both"/>
              <w:rPr>
                <w:rFonts w:ascii="HelveticaNeueCyr" w:eastAsia="Times New Roman" w:hAnsi="HelveticaNeueCyr" w:cs="Times New Roman"/>
                <w:color w:val="323232"/>
                <w:sz w:val="24"/>
                <w:szCs w:val="24"/>
              </w:rPr>
            </w:pPr>
            <w:r w:rsidRPr="0051348A">
              <w:rPr>
                <w:rFonts w:ascii="HelveticaNeueCyr" w:eastAsia="Times New Roman" w:hAnsi="HelveticaNeueCyr" w:cs="Times New Roman"/>
                <w:color w:val="323232"/>
                <w:sz w:val="24"/>
                <w:szCs w:val="24"/>
              </w:rPr>
              <w:t>Прием документов и организация конкурсного отбора инвестиционных проектов для предоставления статуса приоритетного инвестиционного проекта и муниципальной поддержки на территории городского округа город Дзержинск</w:t>
            </w:r>
          </w:p>
        </w:tc>
        <w:tc>
          <w:tcPr>
            <w:tcW w:w="1008"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before="100" w:beforeAutospacing="1" w:after="100" w:afterAutospacing="1" w:line="240" w:lineRule="auto"/>
              <w:jc w:val="both"/>
              <w:rPr>
                <w:rFonts w:ascii="HelveticaNeueCyr" w:eastAsia="Times New Roman" w:hAnsi="HelveticaNeueCyr" w:cs="Times New Roman"/>
                <w:color w:val="323232"/>
                <w:sz w:val="24"/>
                <w:szCs w:val="24"/>
              </w:rPr>
            </w:pPr>
            <w:r w:rsidRPr="0051348A">
              <w:rPr>
                <w:rFonts w:ascii="HelveticaNeueCyr" w:eastAsia="Times New Roman" w:hAnsi="HelveticaNeueCyr" w:cs="Times New Roman"/>
                <w:color w:val="323232"/>
                <w:sz w:val="24"/>
                <w:szCs w:val="24"/>
              </w:rPr>
              <w:t>Департамент экономики, промышленности и строительства</w:t>
            </w:r>
          </w:p>
        </w:tc>
        <w:tc>
          <w:tcPr>
            <w:tcW w:w="1356"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before="100" w:beforeAutospacing="1" w:after="100" w:afterAutospacing="1" w:line="240" w:lineRule="auto"/>
              <w:jc w:val="both"/>
              <w:rPr>
                <w:rFonts w:ascii="HelveticaNeueCyr" w:eastAsia="Times New Roman" w:hAnsi="HelveticaNeueCyr" w:cs="Times New Roman"/>
                <w:color w:val="323232"/>
                <w:sz w:val="24"/>
                <w:szCs w:val="24"/>
              </w:rPr>
            </w:pPr>
            <w:r w:rsidRPr="0051348A">
              <w:rPr>
                <w:rFonts w:ascii="HelveticaNeueCyr" w:eastAsia="Times New Roman" w:hAnsi="HelveticaNeueCyr" w:cs="Times New Roman"/>
                <w:color w:val="323232"/>
                <w:sz w:val="24"/>
                <w:szCs w:val="24"/>
              </w:rPr>
              <w:t>юридические лица</w:t>
            </w:r>
          </w:p>
        </w:tc>
        <w:tc>
          <w:tcPr>
            <w:tcW w:w="3648"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before="100" w:beforeAutospacing="1" w:after="100" w:afterAutospacing="1" w:line="240" w:lineRule="auto"/>
              <w:jc w:val="both"/>
              <w:rPr>
                <w:rFonts w:ascii="HelveticaNeueCyr" w:eastAsia="Times New Roman" w:hAnsi="HelveticaNeueCyr" w:cs="Times New Roman"/>
                <w:color w:val="323232"/>
                <w:sz w:val="24"/>
                <w:szCs w:val="24"/>
              </w:rPr>
            </w:pPr>
            <w:proofErr w:type="gramStart"/>
            <w:r w:rsidRPr="0051348A">
              <w:rPr>
                <w:rFonts w:ascii="HelveticaNeueCyr" w:eastAsia="Times New Roman" w:hAnsi="HelveticaNeueCyr" w:cs="Times New Roman"/>
                <w:color w:val="323232"/>
                <w:sz w:val="24"/>
                <w:szCs w:val="24"/>
              </w:rPr>
              <w:t>1) Заявка на участие в конкурсном отборе инвестиционных проектов, претендующих на получение статуса приоритетных проектов города Дзержинска, согласно приложению 1;</w:t>
            </w:r>
            <w:r w:rsidRPr="0051348A">
              <w:rPr>
                <w:rFonts w:ascii="HelveticaNeueCyr" w:eastAsia="Times New Roman" w:hAnsi="HelveticaNeueCyr" w:cs="Times New Roman"/>
                <w:color w:val="323232"/>
                <w:sz w:val="24"/>
                <w:szCs w:val="24"/>
              </w:rPr>
              <w:br/>
              <w:t>2) Бизнес-план (краткий вариант) либо сведения, необходимые для проведения оценки эффективности инвестиционного проекта, согласно порядку конкурсного отбора инвестиционных проектов города, претендующих на муниципальную поддержку, утвержденному постановлением Администрации города, включая поквартальный график вложения инвестиций с соответствующим графиком ввода объектов;</w:t>
            </w:r>
            <w:proofErr w:type="gramEnd"/>
            <w:r w:rsidRPr="0051348A">
              <w:rPr>
                <w:rFonts w:ascii="HelveticaNeueCyr" w:eastAsia="Times New Roman" w:hAnsi="HelveticaNeueCyr" w:cs="Times New Roman"/>
                <w:color w:val="323232"/>
                <w:sz w:val="24"/>
                <w:szCs w:val="24"/>
              </w:rPr>
              <w:br/>
              <w:t>3) Бухгалтерская отчетность, включая бухгалтерский баланс, на последнюю отчетную дату с отметкой налогового органа о принятии.</w:t>
            </w:r>
            <w:r w:rsidRPr="0051348A">
              <w:rPr>
                <w:rFonts w:ascii="Times New Roman" w:eastAsia="Times New Roman" w:hAnsi="Times New Roman" w:cs="Times New Roman"/>
                <w:color w:val="323232"/>
                <w:sz w:val="24"/>
                <w:szCs w:val="24"/>
              </w:rPr>
              <w:t> </w:t>
            </w:r>
            <w:proofErr w:type="gramStart"/>
            <w:r w:rsidRPr="0051348A">
              <w:rPr>
                <w:rFonts w:ascii="HelveticaNeueCyr" w:eastAsia="Times New Roman" w:hAnsi="HelveticaNeueCyr" w:cs="HelveticaNeueCyr"/>
                <w:color w:val="323232"/>
                <w:sz w:val="24"/>
                <w:szCs w:val="24"/>
              </w:rPr>
              <w:t xml:space="preserve">Запрашивается должностными лицами уполномоченного органа </w:t>
            </w:r>
            <w:r w:rsidRPr="0051348A">
              <w:rPr>
                <w:rFonts w:ascii="HelveticaNeueCyr" w:eastAsia="Times New Roman" w:hAnsi="HelveticaNeueCyr" w:cs="HelveticaNeueCyr"/>
                <w:color w:val="323232"/>
                <w:sz w:val="24"/>
                <w:szCs w:val="24"/>
              </w:rPr>
              <w:lastRenderedPageBreak/>
              <w:t>администрации го</w:t>
            </w:r>
            <w:r w:rsidRPr="0051348A">
              <w:rPr>
                <w:rFonts w:ascii="HelveticaNeueCyr" w:eastAsia="Times New Roman" w:hAnsi="HelveticaNeueCyr" w:cs="Times New Roman"/>
                <w:color w:val="323232"/>
                <w:sz w:val="24"/>
                <w:szCs w:val="24"/>
              </w:rPr>
              <w:t>рода у федеральных органов исполнительной власти и подведомственных им организаций, в распоряжении которых находятся данные документы, в рамках межведомственного информационного взаимодействия в соответствии с законодательством Российской Федерации, при этом заявитель вправе представить бухгалтерскую отчетность по собственной инициативе.</w:t>
            </w:r>
            <w:r w:rsidRPr="0051348A">
              <w:rPr>
                <w:rFonts w:ascii="Times New Roman" w:eastAsia="Times New Roman" w:hAnsi="Times New Roman" w:cs="Times New Roman"/>
                <w:color w:val="323232"/>
                <w:sz w:val="24"/>
                <w:szCs w:val="24"/>
              </w:rPr>
              <w:t> </w:t>
            </w:r>
            <w:r w:rsidRPr="0051348A">
              <w:rPr>
                <w:rFonts w:ascii="HelveticaNeueCyr" w:eastAsia="Times New Roman" w:hAnsi="HelveticaNeueCyr" w:cs="HelveticaNeueCyr"/>
                <w:color w:val="323232"/>
                <w:sz w:val="24"/>
                <w:szCs w:val="24"/>
              </w:rPr>
              <w:br/>
              <w:t>4) Справка налогового органа об отсутствии задолженности по уплате налогов, сборов, пени и штрафов.</w:t>
            </w:r>
            <w:proofErr w:type="gramEnd"/>
            <w:r w:rsidRPr="0051348A">
              <w:rPr>
                <w:rFonts w:ascii="HelveticaNeueCyr" w:eastAsia="Times New Roman" w:hAnsi="HelveticaNeueCyr" w:cs="HelveticaNeueCyr"/>
                <w:color w:val="323232"/>
                <w:sz w:val="24"/>
                <w:szCs w:val="24"/>
              </w:rPr>
              <w:t xml:space="preserve"> </w:t>
            </w:r>
            <w:proofErr w:type="gramStart"/>
            <w:r w:rsidRPr="0051348A">
              <w:rPr>
                <w:rFonts w:ascii="HelveticaNeueCyr" w:eastAsia="Times New Roman" w:hAnsi="HelveticaNeueCyr" w:cs="HelveticaNeueCyr"/>
                <w:color w:val="323232"/>
                <w:sz w:val="24"/>
                <w:szCs w:val="24"/>
              </w:rPr>
              <w:t>Запрашивается должностными лицами уполномоченного органа администрации г</w:t>
            </w:r>
            <w:r w:rsidRPr="0051348A">
              <w:rPr>
                <w:rFonts w:ascii="HelveticaNeueCyr" w:eastAsia="Times New Roman" w:hAnsi="HelveticaNeueCyr" w:cs="Times New Roman"/>
                <w:color w:val="323232"/>
                <w:sz w:val="24"/>
                <w:szCs w:val="24"/>
              </w:rPr>
              <w:t xml:space="preserve">орода у федеральных органов исполнительной власти и подведомственных им организаций, в распоряжении которых находятся данные документы, в рамках межведомственного информационного взаимодействия в соответствии с законодательством Российской Федерации, при </w:t>
            </w:r>
            <w:r w:rsidRPr="0051348A">
              <w:rPr>
                <w:rFonts w:ascii="HelveticaNeueCyr" w:eastAsia="Times New Roman" w:hAnsi="HelveticaNeueCyr" w:cs="Times New Roman"/>
                <w:color w:val="323232"/>
                <w:sz w:val="24"/>
                <w:szCs w:val="24"/>
              </w:rPr>
              <w:lastRenderedPageBreak/>
              <w:t>этом заявитель вправе представить бухгалтерскую отчетность по собственной инициативе.</w:t>
            </w:r>
            <w:r w:rsidRPr="0051348A">
              <w:rPr>
                <w:rFonts w:ascii="Times New Roman" w:eastAsia="Times New Roman" w:hAnsi="Times New Roman" w:cs="Times New Roman"/>
                <w:color w:val="323232"/>
                <w:sz w:val="24"/>
                <w:szCs w:val="24"/>
              </w:rPr>
              <w:t> </w:t>
            </w:r>
            <w:r w:rsidRPr="0051348A">
              <w:rPr>
                <w:rFonts w:ascii="HelveticaNeueCyr" w:eastAsia="Times New Roman" w:hAnsi="HelveticaNeueCyr" w:cs="HelveticaNeueCyr"/>
                <w:color w:val="323232"/>
                <w:sz w:val="24"/>
                <w:szCs w:val="24"/>
              </w:rPr>
              <w:br/>
              <w:t>5) Положительное заключение уполномоченных органов государственной власти или организаций в случаях, установленных законодательством Российской Федерации.</w:t>
            </w:r>
            <w:r w:rsidRPr="0051348A">
              <w:rPr>
                <w:rFonts w:ascii="Times New Roman" w:eastAsia="Times New Roman" w:hAnsi="Times New Roman" w:cs="Times New Roman"/>
                <w:color w:val="323232"/>
                <w:sz w:val="24"/>
                <w:szCs w:val="24"/>
              </w:rPr>
              <w:t> </w:t>
            </w:r>
            <w:proofErr w:type="gramEnd"/>
          </w:p>
        </w:tc>
        <w:tc>
          <w:tcPr>
            <w:tcW w:w="1248"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before="100" w:beforeAutospacing="1" w:after="100" w:afterAutospacing="1" w:line="240" w:lineRule="auto"/>
              <w:jc w:val="both"/>
              <w:rPr>
                <w:rFonts w:ascii="HelveticaNeueCyr" w:eastAsia="Times New Roman" w:hAnsi="HelveticaNeueCyr" w:cs="Times New Roman"/>
                <w:color w:val="323232"/>
                <w:sz w:val="24"/>
                <w:szCs w:val="24"/>
              </w:rPr>
            </w:pPr>
            <w:r w:rsidRPr="0051348A">
              <w:rPr>
                <w:rFonts w:ascii="HelveticaNeueCyr" w:eastAsia="Times New Roman" w:hAnsi="HelveticaNeueCyr" w:cs="Times New Roman"/>
                <w:color w:val="323232"/>
                <w:sz w:val="24"/>
                <w:szCs w:val="24"/>
              </w:rPr>
              <w:lastRenderedPageBreak/>
              <w:t>Услуга предоставляется бесплатно</w:t>
            </w:r>
          </w:p>
        </w:tc>
        <w:tc>
          <w:tcPr>
            <w:tcW w:w="1356"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before="100" w:beforeAutospacing="1" w:after="100" w:afterAutospacing="1" w:line="240" w:lineRule="auto"/>
              <w:jc w:val="both"/>
              <w:rPr>
                <w:rFonts w:ascii="HelveticaNeueCyr" w:eastAsia="Times New Roman" w:hAnsi="HelveticaNeueCyr" w:cs="Times New Roman"/>
                <w:color w:val="323232"/>
                <w:sz w:val="24"/>
                <w:szCs w:val="24"/>
              </w:rPr>
            </w:pPr>
            <w:r w:rsidRPr="0051348A">
              <w:rPr>
                <w:rFonts w:ascii="HelveticaNeueCyr" w:eastAsia="Times New Roman" w:hAnsi="HelveticaNeueCyr" w:cs="Times New Roman"/>
                <w:color w:val="323232"/>
                <w:sz w:val="24"/>
                <w:szCs w:val="24"/>
              </w:rPr>
              <w:t>118 рабочих дней</w:t>
            </w:r>
          </w:p>
        </w:tc>
        <w:tc>
          <w:tcPr>
            <w:tcW w:w="1848"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before="100" w:beforeAutospacing="1" w:after="100" w:afterAutospacing="1" w:line="240" w:lineRule="auto"/>
              <w:jc w:val="both"/>
              <w:rPr>
                <w:rFonts w:ascii="HelveticaNeueCyr" w:eastAsia="Times New Roman" w:hAnsi="HelveticaNeueCyr" w:cs="Times New Roman"/>
                <w:color w:val="323232"/>
                <w:sz w:val="24"/>
                <w:szCs w:val="24"/>
              </w:rPr>
            </w:pPr>
            <w:proofErr w:type="gramStart"/>
            <w:r w:rsidRPr="0051348A">
              <w:rPr>
                <w:rFonts w:ascii="HelveticaNeueCyr" w:eastAsia="Times New Roman" w:hAnsi="HelveticaNeueCyr" w:cs="Times New Roman"/>
                <w:color w:val="323232"/>
                <w:sz w:val="24"/>
                <w:szCs w:val="24"/>
              </w:rPr>
              <w:t>1) Инвестиционное соглашение о предоставлении муниципальной поддержки организации, реализующей приоритетный инвестиционный проект города Дзержинска;</w:t>
            </w:r>
            <w:r w:rsidRPr="0051348A">
              <w:rPr>
                <w:rFonts w:ascii="HelveticaNeueCyr" w:eastAsia="Times New Roman" w:hAnsi="HelveticaNeueCyr" w:cs="Times New Roman"/>
                <w:color w:val="323232"/>
                <w:sz w:val="24"/>
                <w:szCs w:val="24"/>
              </w:rPr>
              <w:br/>
              <w:t xml:space="preserve">2) Решение Городской Думы города Дзержинска о согласовании проекта инвестиционного соглашения в случае, если предоставление мер муниципальной поддержки инвестиционной деятельности находится в компетенции </w:t>
            </w:r>
            <w:r w:rsidRPr="0051348A">
              <w:rPr>
                <w:rFonts w:ascii="HelveticaNeueCyr" w:eastAsia="Times New Roman" w:hAnsi="HelveticaNeueCyr" w:cs="Times New Roman"/>
                <w:color w:val="323232"/>
                <w:sz w:val="24"/>
                <w:szCs w:val="24"/>
              </w:rPr>
              <w:lastRenderedPageBreak/>
              <w:t>Городской Думы;</w:t>
            </w:r>
            <w:r w:rsidRPr="0051348A">
              <w:rPr>
                <w:rFonts w:ascii="HelveticaNeueCyr" w:eastAsia="Times New Roman" w:hAnsi="HelveticaNeueCyr" w:cs="Times New Roman"/>
                <w:color w:val="323232"/>
                <w:sz w:val="24"/>
                <w:szCs w:val="24"/>
              </w:rPr>
              <w:br/>
              <w:t>3) Письменный отказ в рассмотрении заявки о предоставлении статуса приоритетного инвестиционного проекта и муниципальной поддержки;</w:t>
            </w:r>
            <w:proofErr w:type="gramEnd"/>
            <w:r w:rsidRPr="0051348A">
              <w:rPr>
                <w:rFonts w:ascii="HelveticaNeueCyr" w:eastAsia="Times New Roman" w:hAnsi="HelveticaNeueCyr" w:cs="Times New Roman"/>
                <w:color w:val="323232"/>
                <w:sz w:val="24"/>
                <w:szCs w:val="24"/>
              </w:rPr>
              <w:br/>
              <w:t>4) Письменное уведомление субъекта инвестиционной деятельности об отказе в придании статуса приоритетного инвестиционного проекта.</w:t>
            </w:r>
          </w:p>
        </w:tc>
      </w:tr>
      <w:tr w:rsidR="0051348A" w:rsidRPr="0051348A" w:rsidTr="0051348A">
        <w:tc>
          <w:tcPr>
            <w:tcW w:w="384"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before="100" w:beforeAutospacing="1" w:after="100" w:afterAutospacing="1" w:line="240" w:lineRule="auto"/>
              <w:jc w:val="both"/>
              <w:rPr>
                <w:rFonts w:ascii="HelveticaNeueCyr" w:eastAsia="Times New Roman" w:hAnsi="HelveticaNeueCyr" w:cs="Times New Roman"/>
                <w:color w:val="323232"/>
                <w:sz w:val="24"/>
                <w:szCs w:val="24"/>
              </w:rPr>
            </w:pPr>
            <w:r w:rsidRPr="0051348A">
              <w:rPr>
                <w:rFonts w:ascii="Times New Roman" w:eastAsia="Times New Roman" w:hAnsi="Times New Roman" w:cs="Times New Roman"/>
                <w:color w:val="323232"/>
                <w:sz w:val="24"/>
                <w:szCs w:val="24"/>
              </w:rPr>
              <w:lastRenderedPageBreak/>
              <w:t> </w:t>
            </w:r>
          </w:p>
        </w:tc>
        <w:tc>
          <w:tcPr>
            <w:tcW w:w="1548"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after="0" w:line="240" w:lineRule="auto"/>
              <w:rPr>
                <w:rFonts w:ascii="HelveticaNeueCyr" w:eastAsia="Times New Roman" w:hAnsi="HelveticaNeueCyr" w:cs="Times New Roman"/>
                <w:color w:val="323232"/>
                <w:sz w:val="24"/>
                <w:szCs w:val="24"/>
              </w:rPr>
            </w:pPr>
            <w:r w:rsidRPr="0051348A">
              <w:rPr>
                <w:rFonts w:ascii="Times New Roman" w:eastAsia="Times New Roman" w:hAnsi="Times New Roman" w:cs="Times New Roman"/>
                <w:color w:val="323232"/>
                <w:sz w:val="24"/>
                <w:szCs w:val="24"/>
              </w:rPr>
              <w:t> </w:t>
            </w:r>
          </w:p>
        </w:tc>
        <w:tc>
          <w:tcPr>
            <w:tcW w:w="1008"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after="0" w:line="240" w:lineRule="auto"/>
              <w:rPr>
                <w:rFonts w:ascii="HelveticaNeueCyr" w:eastAsia="Times New Roman" w:hAnsi="HelveticaNeueCyr" w:cs="Times New Roman"/>
                <w:color w:val="323232"/>
                <w:sz w:val="24"/>
                <w:szCs w:val="24"/>
              </w:rPr>
            </w:pPr>
            <w:r w:rsidRPr="0051348A">
              <w:rPr>
                <w:rFonts w:ascii="Times New Roman" w:eastAsia="Times New Roman" w:hAnsi="Times New Roman" w:cs="Times New Roman"/>
                <w:color w:val="323232"/>
                <w:sz w:val="24"/>
                <w:szCs w:val="24"/>
              </w:rPr>
              <w:t> </w:t>
            </w:r>
          </w:p>
        </w:tc>
        <w:tc>
          <w:tcPr>
            <w:tcW w:w="1356"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after="0" w:line="240" w:lineRule="auto"/>
              <w:rPr>
                <w:rFonts w:ascii="HelveticaNeueCyr" w:eastAsia="Times New Roman" w:hAnsi="HelveticaNeueCyr" w:cs="Times New Roman"/>
                <w:color w:val="323232"/>
                <w:sz w:val="24"/>
                <w:szCs w:val="24"/>
              </w:rPr>
            </w:pPr>
            <w:r w:rsidRPr="0051348A">
              <w:rPr>
                <w:rFonts w:ascii="Times New Roman" w:eastAsia="Times New Roman" w:hAnsi="Times New Roman" w:cs="Times New Roman"/>
                <w:color w:val="323232"/>
                <w:sz w:val="24"/>
                <w:szCs w:val="24"/>
              </w:rPr>
              <w:t> </w:t>
            </w:r>
          </w:p>
        </w:tc>
        <w:tc>
          <w:tcPr>
            <w:tcW w:w="3648"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after="0" w:line="240" w:lineRule="auto"/>
              <w:rPr>
                <w:rFonts w:ascii="HelveticaNeueCyr" w:eastAsia="Times New Roman" w:hAnsi="HelveticaNeueCyr" w:cs="Times New Roman"/>
                <w:color w:val="323232"/>
                <w:sz w:val="24"/>
                <w:szCs w:val="24"/>
              </w:rPr>
            </w:pPr>
            <w:r w:rsidRPr="0051348A">
              <w:rPr>
                <w:rFonts w:ascii="Times New Roman" w:eastAsia="Times New Roman" w:hAnsi="Times New Roman" w:cs="Times New Roman"/>
                <w:color w:val="323232"/>
                <w:sz w:val="24"/>
                <w:szCs w:val="24"/>
              </w:rPr>
              <w:t> </w:t>
            </w:r>
          </w:p>
        </w:tc>
        <w:tc>
          <w:tcPr>
            <w:tcW w:w="1248"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after="0" w:line="240" w:lineRule="auto"/>
              <w:rPr>
                <w:rFonts w:ascii="HelveticaNeueCyr" w:eastAsia="Times New Roman" w:hAnsi="HelveticaNeueCyr" w:cs="Times New Roman"/>
                <w:color w:val="323232"/>
                <w:sz w:val="24"/>
                <w:szCs w:val="24"/>
              </w:rPr>
            </w:pPr>
            <w:r w:rsidRPr="0051348A">
              <w:rPr>
                <w:rFonts w:ascii="Times New Roman" w:eastAsia="Times New Roman" w:hAnsi="Times New Roman" w:cs="Times New Roman"/>
                <w:color w:val="323232"/>
                <w:sz w:val="24"/>
                <w:szCs w:val="24"/>
              </w:rPr>
              <w:t> </w:t>
            </w:r>
          </w:p>
        </w:tc>
        <w:tc>
          <w:tcPr>
            <w:tcW w:w="1356"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after="0" w:line="240" w:lineRule="auto"/>
              <w:rPr>
                <w:rFonts w:ascii="HelveticaNeueCyr" w:eastAsia="Times New Roman" w:hAnsi="HelveticaNeueCyr" w:cs="Times New Roman"/>
                <w:color w:val="323232"/>
                <w:sz w:val="24"/>
                <w:szCs w:val="24"/>
              </w:rPr>
            </w:pPr>
            <w:r w:rsidRPr="0051348A">
              <w:rPr>
                <w:rFonts w:ascii="Times New Roman" w:eastAsia="Times New Roman" w:hAnsi="Times New Roman" w:cs="Times New Roman"/>
                <w:color w:val="323232"/>
                <w:sz w:val="24"/>
                <w:szCs w:val="24"/>
              </w:rPr>
              <w:t> </w:t>
            </w:r>
          </w:p>
        </w:tc>
        <w:tc>
          <w:tcPr>
            <w:tcW w:w="1848" w:type="dxa"/>
            <w:tcBorders>
              <w:top w:val="outset" w:sz="6" w:space="0" w:color="auto"/>
              <w:left w:val="outset" w:sz="6" w:space="0" w:color="auto"/>
              <w:bottom w:val="outset" w:sz="6" w:space="0" w:color="auto"/>
              <w:right w:val="outset" w:sz="6" w:space="0" w:color="auto"/>
            </w:tcBorders>
            <w:hideMark/>
          </w:tcPr>
          <w:p w:rsidR="0051348A" w:rsidRPr="0051348A" w:rsidRDefault="0051348A" w:rsidP="0051348A">
            <w:pPr>
              <w:spacing w:before="100" w:beforeAutospacing="1" w:after="100" w:afterAutospacing="1" w:line="240" w:lineRule="auto"/>
              <w:jc w:val="both"/>
              <w:rPr>
                <w:rFonts w:ascii="HelveticaNeueCyr" w:eastAsia="Times New Roman" w:hAnsi="HelveticaNeueCyr" w:cs="Times New Roman"/>
                <w:color w:val="323232"/>
                <w:sz w:val="24"/>
                <w:szCs w:val="24"/>
              </w:rPr>
            </w:pPr>
            <w:r w:rsidRPr="0051348A">
              <w:rPr>
                <w:rFonts w:ascii="Times New Roman" w:eastAsia="Times New Roman" w:hAnsi="Times New Roman" w:cs="Times New Roman"/>
                <w:color w:val="323232"/>
                <w:sz w:val="24"/>
                <w:szCs w:val="24"/>
              </w:rPr>
              <w:t> </w:t>
            </w:r>
          </w:p>
        </w:tc>
      </w:tr>
    </w:tbl>
    <w:p w:rsidR="0051348A" w:rsidRPr="0051348A" w:rsidRDefault="0051348A" w:rsidP="0051348A">
      <w:pPr>
        <w:jc w:val="center"/>
        <w:rPr>
          <w:sz w:val="24"/>
          <w:szCs w:val="24"/>
        </w:rPr>
      </w:pPr>
    </w:p>
    <w:sectPr w:rsidR="0051348A" w:rsidRPr="0051348A" w:rsidSect="0051348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NeueCyr">
    <w:panose1 w:val="02000503040000020004"/>
    <w:charset w:val="CC"/>
    <w:family w:val="auto"/>
    <w:pitch w:val="variable"/>
    <w:sig w:usb0="8000020B" w:usb1="10000048"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51348A"/>
    <w:rsid w:val="00513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348A"/>
    <w:rPr>
      <w:color w:val="0000FF"/>
      <w:u w:val="single"/>
    </w:rPr>
  </w:style>
  <w:style w:type="paragraph" w:styleId="a4">
    <w:name w:val="Normal (Web)"/>
    <w:basedOn w:val="a"/>
    <w:uiPriority w:val="99"/>
    <w:unhideWhenUsed/>
    <w:rsid w:val="005134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49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Веселов</dc:creator>
  <cp:keywords/>
  <dc:description/>
  <cp:lastModifiedBy>Николай Веселов</cp:lastModifiedBy>
  <cp:revision>2</cp:revision>
  <dcterms:created xsi:type="dcterms:W3CDTF">2020-12-07T01:53:00Z</dcterms:created>
  <dcterms:modified xsi:type="dcterms:W3CDTF">2020-12-07T01:54:00Z</dcterms:modified>
</cp:coreProperties>
</file>